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420768FD"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97</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-20</w:t>
      </w:r>
      <w:r w:rsidR="000B5A30">
        <w:rPr>
          <w:rFonts w:ascii="Arial" w:hAnsi="Arial" w:cs="Arial"/>
          <w:b/>
          <w:sz w:val="24"/>
          <w:szCs w:val="24"/>
          <w:lang w:eastAsia="zh-CN"/>
        </w:rPr>
        <w:t>15441</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985912">
        <w:rPr>
          <w:rFonts w:ascii="Arial" w:hAnsi="Arial" w:cs="Arial"/>
          <w:b/>
          <w:sz w:val="24"/>
          <w:szCs w:val="24"/>
          <w:lang w:eastAsia="zh-CN"/>
        </w:rPr>
        <w:t>November</w:t>
      </w:r>
      <w:r>
        <w:rPr>
          <w:rFonts w:ascii="Arial" w:hAnsi="Arial" w:cs="Arial"/>
          <w:b/>
          <w:sz w:val="24"/>
          <w:szCs w:val="24"/>
          <w:lang w:eastAsia="zh-CN"/>
        </w:rPr>
        <w:t xml:space="preserve"> </w:t>
      </w:r>
      <w:r w:rsidR="00985912">
        <w:rPr>
          <w:rFonts w:ascii="Arial" w:hAnsi="Arial" w:cs="Arial"/>
          <w:b/>
          <w:sz w:val="24"/>
          <w:szCs w:val="24"/>
          <w:lang w:eastAsia="zh-CN"/>
        </w:rPr>
        <w:t xml:space="preserve">2 </w:t>
      </w:r>
      <w:r>
        <w:rPr>
          <w:rFonts w:ascii="Arial" w:hAnsi="Arial" w:cs="Arial"/>
          <w:b/>
          <w:sz w:val="24"/>
          <w:szCs w:val="24"/>
          <w:lang w:eastAsia="zh-CN"/>
        </w:rPr>
        <w:t>-</w:t>
      </w:r>
      <w:r w:rsidR="00985912">
        <w:rPr>
          <w:rFonts w:ascii="Arial" w:hAnsi="Arial" w:cs="Arial"/>
          <w:b/>
          <w:sz w:val="24"/>
          <w:szCs w:val="24"/>
          <w:lang w:eastAsia="zh-CN"/>
        </w:rPr>
        <w:t xml:space="preserve"> </w:t>
      </w:r>
      <w:r>
        <w:rPr>
          <w:rFonts w:ascii="Arial" w:hAnsi="Arial" w:cs="Arial"/>
          <w:b/>
          <w:sz w:val="24"/>
          <w:szCs w:val="24"/>
          <w:lang w:eastAsia="zh-CN"/>
        </w:rPr>
        <w:t>1</w:t>
      </w:r>
      <w:r w:rsidR="00985912">
        <w:rPr>
          <w:rFonts w:ascii="Arial" w:hAnsi="Arial" w:cs="Arial"/>
          <w:b/>
          <w:sz w:val="24"/>
          <w:szCs w:val="24"/>
          <w:lang w:eastAsia="zh-CN"/>
        </w:rPr>
        <w:t>3</w:t>
      </w:r>
      <w:r>
        <w:rPr>
          <w:rFonts w:ascii="Arial" w:hAnsi="Arial" w:cs="Arial"/>
          <w:b/>
          <w:sz w:val="24"/>
          <w:szCs w:val="24"/>
          <w:lang w:eastAsia="zh-CN"/>
        </w:rPr>
        <w:t>, 2020</w:t>
      </w:r>
    </w:p>
    <w:p w14:paraId="798321A4" w14:textId="77777777" w:rsidR="00656EE7" w:rsidRDefault="00656EE7">
      <w:pPr>
        <w:spacing w:after="120"/>
        <w:ind w:left="1985" w:hanging="1985"/>
        <w:rPr>
          <w:rFonts w:ascii="Arial" w:eastAsia="MS Mincho" w:hAnsi="Arial" w:cs="Arial"/>
          <w:b/>
          <w:sz w:val="22"/>
        </w:rPr>
      </w:pPr>
    </w:p>
    <w:p w14:paraId="36AE7F06" w14:textId="7C792179"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16348" w:rsidRPr="000B5A30">
        <w:rPr>
          <w:rFonts w:ascii="Arial" w:eastAsia="MS Mincho" w:hAnsi="Arial" w:cs="Arial"/>
          <w:bCs/>
          <w:color w:val="000000"/>
          <w:sz w:val="22"/>
          <w:lang w:val="pt-BR" w:eastAsia="ja-JP"/>
        </w:rPr>
        <w:t>7.4</w:t>
      </w:r>
      <w:r w:rsidR="007B0BBD" w:rsidRPr="000B5A30">
        <w:rPr>
          <w:rFonts w:ascii="Arial" w:eastAsia="MS Mincho" w:hAnsi="Arial" w:cs="Arial"/>
          <w:bCs/>
          <w:color w:val="000000"/>
          <w:sz w:val="22"/>
          <w:lang w:val="pt-BR" w:eastAsia="ja-JP"/>
        </w:rPr>
        <w:t>.</w:t>
      </w:r>
      <w:r w:rsidR="000B5A30" w:rsidRPr="000B5A30">
        <w:rPr>
          <w:rFonts w:ascii="Arial" w:eastAsia="MS Mincho" w:hAnsi="Arial" w:cs="Arial"/>
          <w:bCs/>
          <w:color w:val="000000"/>
          <w:sz w:val="22"/>
          <w:lang w:val="pt-BR" w:eastAsia="ja-JP"/>
        </w:rPr>
        <w:t>3.3.1</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0C4A2F34"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5443FB">
        <w:rPr>
          <w:rFonts w:ascii="Arial" w:eastAsia="MS Mincho" w:hAnsi="Arial" w:cs="Arial"/>
          <w:bCs/>
          <w:color w:val="000000"/>
          <w:sz w:val="22"/>
        </w:rPr>
        <w:t>Radiated conformance testing, Tx requirements</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Default="00344713" w:rsidP="00065A7B">
      <w:pPr>
        <w:pStyle w:val="Heading1"/>
        <w:rPr>
          <w:lang w:eastAsia="zh-CN"/>
        </w:rPr>
      </w:pPr>
      <w:proofErr w:type="spellStart"/>
      <w:r>
        <w:rPr>
          <w:rFonts w:hint="eastAsia"/>
          <w:lang w:eastAsia="ja-JP"/>
        </w:rPr>
        <w:t>Introduction</w:t>
      </w:r>
      <w:proofErr w:type="spellEnd"/>
    </w:p>
    <w:p w14:paraId="3659D095" w14:textId="611E573F" w:rsidR="00656EE7" w:rsidRDefault="00316348">
      <w:pPr>
        <w:pStyle w:val="BodyText"/>
        <w:rPr>
          <w:lang w:eastAsia="zh-CN"/>
        </w:rPr>
      </w:pPr>
      <w:r>
        <w:rPr>
          <w:lang w:eastAsia="zh-CN"/>
        </w:rPr>
        <w:t>RAN4 completed the core part of Integrated Access and Backhaul work in RAN4#96e and performance part is now starting</w:t>
      </w:r>
      <w:r w:rsidR="00344713">
        <w:rPr>
          <w:lang w:eastAsia="zh-CN"/>
        </w:rPr>
        <w:t xml:space="preserve">. </w:t>
      </w:r>
      <w:r>
        <w:rPr>
          <w:lang w:eastAsia="zh-CN"/>
        </w:rPr>
        <w:t xml:space="preserve">In this contribution </w:t>
      </w:r>
      <w:r w:rsidR="005443FB">
        <w:rPr>
          <w:lang w:eastAsia="zh-CN"/>
        </w:rPr>
        <w:t>the radiated testing of Tx requirements is discussed.</w:t>
      </w:r>
    </w:p>
    <w:p w14:paraId="27A7A54E" w14:textId="74417229" w:rsidR="007B1131" w:rsidRDefault="00F84D8E" w:rsidP="00F84D8E">
      <w:pPr>
        <w:pStyle w:val="Heading1"/>
        <w:rPr>
          <w:lang w:eastAsia="zh-CN"/>
        </w:rPr>
      </w:pPr>
      <w:proofErr w:type="spellStart"/>
      <w:r>
        <w:rPr>
          <w:lang w:eastAsia="zh-CN"/>
        </w:rPr>
        <w:t>Discussion</w:t>
      </w:r>
      <w:proofErr w:type="spellEnd"/>
    </w:p>
    <w:p w14:paraId="635211BA" w14:textId="54C48AFD" w:rsidR="00F20FFD" w:rsidRDefault="005B0175" w:rsidP="00C234BC">
      <w:pPr>
        <w:pStyle w:val="BodyText"/>
        <w:rPr>
          <w:lang w:val="en-US" w:eastAsia="zh-CN"/>
        </w:rPr>
      </w:pPr>
      <w:r>
        <w:rPr>
          <w:lang w:val="en-US" w:eastAsia="zh-CN"/>
        </w:rPr>
        <w:t>As well known by now, IAB-Node is a</w:t>
      </w:r>
      <w:r w:rsidR="00C103F3">
        <w:rPr>
          <w:lang w:val="en-US" w:eastAsia="zh-CN"/>
        </w:rPr>
        <w:t>n</w:t>
      </w:r>
      <w:r>
        <w:rPr>
          <w:lang w:val="en-US" w:eastAsia="zh-CN"/>
        </w:rPr>
        <w:t xml:space="preserve"> infrastructure node which consists of two logical entities, IAB-DU and IAB-MT. IAB-DU can both serve access UEs and child-Nodes</w:t>
      </w:r>
      <w:r w:rsidR="00F21B54">
        <w:rPr>
          <w:lang w:val="en-US" w:eastAsia="zh-CN"/>
        </w:rPr>
        <w:t xml:space="preserve"> (nodes further away from donor)</w:t>
      </w:r>
      <w:r>
        <w:rPr>
          <w:lang w:val="en-US" w:eastAsia="zh-CN"/>
        </w:rPr>
        <w:t>, whereas IAB-MT is dedicated to operate in the backhaul link, transmitting to</w:t>
      </w:r>
      <w:r w:rsidR="00F21B54">
        <w:rPr>
          <w:lang w:val="en-US" w:eastAsia="zh-CN"/>
        </w:rPr>
        <w:t xml:space="preserve"> / receiving from</w:t>
      </w:r>
      <w:r>
        <w:rPr>
          <w:lang w:val="en-US" w:eastAsia="zh-CN"/>
        </w:rPr>
        <w:t xml:space="preserve"> parent Node</w:t>
      </w:r>
      <w:r w:rsidR="00F21B54">
        <w:rPr>
          <w:lang w:val="en-US" w:eastAsia="zh-CN"/>
        </w:rPr>
        <w:t xml:space="preserve"> (node closer to donor). </w:t>
      </w:r>
      <w:r w:rsidR="004B3EA8">
        <w:rPr>
          <w:lang w:val="en-US" w:eastAsia="zh-CN"/>
        </w:rPr>
        <w:t xml:space="preserve">As the functions of the MT and DU are different, RAN4 RF core specification was developed so that requirements for IAB-MT and IAB-DU are independent entities. They are allowed to use different antenna arrays or even be built in separate enclosures. While in </w:t>
      </w:r>
      <w:r w:rsidR="00B93FA3">
        <w:rPr>
          <w:lang w:val="en-US" w:eastAsia="zh-CN"/>
        </w:rPr>
        <w:t>higher layer</w:t>
      </w:r>
      <w:r w:rsidR="00F21B54">
        <w:rPr>
          <w:lang w:val="en-US" w:eastAsia="zh-CN"/>
        </w:rPr>
        <w:t xml:space="preserve"> specifications IAB-MT </w:t>
      </w:r>
      <w:r w:rsidR="00B93FA3">
        <w:rPr>
          <w:lang w:val="en-US" w:eastAsia="zh-CN"/>
        </w:rPr>
        <w:t>often</w:t>
      </w:r>
      <w:r w:rsidR="00F21B54">
        <w:rPr>
          <w:lang w:val="en-US" w:eastAsia="zh-CN"/>
        </w:rPr>
        <w:t xml:space="preserve"> follows the same specification as </w:t>
      </w:r>
      <w:r w:rsidR="00B93FA3">
        <w:rPr>
          <w:lang w:val="en-US" w:eastAsia="zh-CN"/>
        </w:rPr>
        <w:t xml:space="preserve">set for UEs, but in RF specification the requirements are in most cases the same as specified for </w:t>
      </w:r>
      <w:proofErr w:type="spellStart"/>
      <w:r w:rsidR="00B93FA3">
        <w:rPr>
          <w:lang w:val="en-US" w:eastAsia="zh-CN"/>
        </w:rPr>
        <w:t>gNBs</w:t>
      </w:r>
      <w:proofErr w:type="spellEnd"/>
      <w:r w:rsidR="00F21B54">
        <w:rPr>
          <w:lang w:val="en-US" w:eastAsia="zh-CN"/>
        </w:rPr>
        <w:t>.</w:t>
      </w:r>
      <w:r w:rsidR="00B93FA3">
        <w:rPr>
          <w:lang w:val="en-US" w:eastAsia="zh-CN"/>
        </w:rPr>
        <w:t xml:space="preserve"> </w:t>
      </w:r>
    </w:p>
    <w:p w14:paraId="0D917C68" w14:textId="77777777" w:rsidR="00056DFF" w:rsidRDefault="00387E66" w:rsidP="00F97625">
      <w:pPr>
        <w:pStyle w:val="BodyText"/>
        <w:rPr>
          <w:lang w:val="en-US" w:eastAsia="zh-CN"/>
        </w:rPr>
      </w:pPr>
      <w:r>
        <w:rPr>
          <w:lang w:val="en-US" w:eastAsia="zh-CN"/>
        </w:rPr>
        <w:t>Due to the similarity of the requirements</w:t>
      </w:r>
      <w:r w:rsidR="00072E4E">
        <w:rPr>
          <w:lang w:val="en-US" w:eastAsia="zh-CN"/>
        </w:rPr>
        <w:t xml:space="preserve"> it follows that the principles how the requirements are verified should also be similar. </w:t>
      </w:r>
      <w:r w:rsidR="00787A1D">
        <w:rPr>
          <w:lang w:val="en-US" w:eastAsia="zh-CN"/>
        </w:rPr>
        <w:t xml:space="preserve">There are however some IAB-MT requirements where the requirement differs from base station requirement, and more detailed look into the conformance testing procedure is needed. In transmitter side these requirements include dynamic range, power control requirements for local area IAB-MT and frequency error. </w:t>
      </w:r>
      <w:r w:rsidR="00056DFF">
        <w:rPr>
          <w:lang w:val="en-US" w:eastAsia="zh-CN"/>
        </w:rPr>
        <w:t>These requirements are addressed here one by one.</w:t>
      </w:r>
    </w:p>
    <w:p w14:paraId="2E63B3B3" w14:textId="66F360F1" w:rsidR="00F97625" w:rsidRDefault="00056DFF" w:rsidP="00F97625">
      <w:pPr>
        <w:pStyle w:val="BodyText"/>
        <w:rPr>
          <w:lang w:val="en-US" w:eastAsia="zh-CN"/>
        </w:rPr>
      </w:pPr>
      <w:r>
        <w:rPr>
          <w:lang w:val="en-US" w:eastAsia="zh-CN"/>
        </w:rPr>
        <w:t>The dynamic range requirement for base stations, total power dynamic range, is in place to make sure that the base station output power varies appropriately in relation with the number of allocation resources blocks. This means that the base station is intended to transmit with constant PSD, and the power difference between 1 resource block and fully allocated channel is equal 10*log10(</w:t>
      </w:r>
      <w:proofErr w:type="spellStart"/>
      <w:r>
        <w:rPr>
          <w:lang w:val="en-US" w:eastAsia="zh-CN"/>
        </w:rPr>
        <w:t>Nrb</w:t>
      </w:r>
      <w:proofErr w:type="spellEnd"/>
      <w:r>
        <w:rPr>
          <w:lang w:val="en-US" w:eastAsia="zh-CN"/>
        </w:rPr>
        <w:t>).</w:t>
      </w:r>
    </w:p>
    <w:p w14:paraId="21DAE627" w14:textId="1D105422" w:rsidR="00056DFF" w:rsidRDefault="00056DFF" w:rsidP="00F97625">
      <w:pPr>
        <w:pStyle w:val="BodyText"/>
        <w:rPr>
          <w:lang w:val="en-US" w:eastAsia="zh-CN"/>
        </w:rPr>
      </w:pPr>
      <w:r>
        <w:rPr>
          <w:lang w:val="en-US" w:eastAsia="zh-CN"/>
        </w:rPr>
        <w:t xml:space="preserve">For IAB-MT an additional component of PSD control has been introduced, the range being 5 dB for wide area IAB-MT and 10 dB for local area IAB-MT. The requirement is written in the core specification in a very general manner stating that the 5- or 10 dB power difference applies for a specified reference condition. Now the task in the performance phase is to detail out those reference conditions. </w:t>
      </w:r>
    </w:p>
    <w:p w14:paraId="16785F0A" w14:textId="07986DDF" w:rsidR="00056DFF" w:rsidRDefault="00056DFF" w:rsidP="00F97625">
      <w:pPr>
        <w:pStyle w:val="BodyText"/>
        <w:rPr>
          <w:lang w:val="en-US" w:eastAsia="zh-CN"/>
        </w:rPr>
      </w:pPr>
      <w:r>
        <w:rPr>
          <w:lang w:val="en-US" w:eastAsia="zh-CN"/>
        </w:rPr>
        <w:t>It could be considered that there are four corner points setting the minimum requirement for dynamic range:</w:t>
      </w:r>
    </w:p>
    <w:p w14:paraId="7DBBB323" w14:textId="5B14A98B" w:rsidR="00056DFF" w:rsidRPr="00056DFF" w:rsidRDefault="00056DFF" w:rsidP="00056DFF">
      <w:pPr>
        <w:pStyle w:val="BodyText"/>
        <w:numPr>
          <w:ilvl w:val="0"/>
          <w:numId w:val="16"/>
        </w:numPr>
        <w:contextualSpacing/>
        <w:rPr>
          <w:b/>
          <w:bCs/>
          <w:lang w:val="en-US" w:eastAsia="zh-CN"/>
        </w:rPr>
      </w:pPr>
      <w:r>
        <w:rPr>
          <w:lang w:val="en-US" w:eastAsia="zh-CN"/>
        </w:rPr>
        <w:t>Low PSD with narrow RB allocation</w:t>
      </w:r>
    </w:p>
    <w:p w14:paraId="103BFBD5" w14:textId="34BAF5A0" w:rsidR="00056DFF" w:rsidRPr="00056DFF" w:rsidRDefault="00056DFF" w:rsidP="00056DFF">
      <w:pPr>
        <w:pStyle w:val="BodyText"/>
        <w:numPr>
          <w:ilvl w:val="0"/>
          <w:numId w:val="16"/>
        </w:numPr>
        <w:ind w:left="714" w:hanging="357"/>
        <w:contextualSpacing/>
        <w:rPr>
          <w:b/>
          <w:bCs/>
          <w:lang w:val="en-US" w:eastAsia="zh-CN"/>
        </w:rPr>
      </w:pPr>
      <w:r>
        <w:rPr>
          <w:lang w:val="en-US" w:eastAsia="zh-CN"/>
        </w:rPr>
        <w:t>Low PSD with full RB allocation</w:t>
      </w:r>
    </w:p>
    <w:p w14:paraId="036DD545" w14:textId="16C60B47" w:rsidR="00056DFF" w:rsidRPr="00056DFF" w:rsidRDefault="00056DFF" w:rsidP="00056DFF">
      <w:pPr>
        <w:pStyle w:val="BodyText"/>
        <w:numPr>
          <w:ilvl w:val="0"/>
          <w:numId w:val="16"/>
        </w:numPr>
        <w:ind w:left="714" w:hanging="357"/>
        <w:contextualSpacing/>
        <w:rPr>
          <w:b/>
          <w:bCs/>
          <w:lang w:val="en-US" w:eastAsia="zh-CN"/>
        </w:rPr>
      </w:pPr>
      <w:r>
        <w:rPr>
          <w:lang w:val="en-US" w:eastAsia="zh-CN"/>
        </w:rPr>
        <w:t>High PSD with narrow RB allocation</w:t>
      </w:r>
    </w:p>
    <w:p w14:paraId="46AB682D" w14:textId="06ABE018" w:rsidR="00056DFF" w:rsidRPr="00056DFF" w:rsidRDefault="00056DFF" w:rsidP="00056DFF">
      <w:pPr>
        <w:pStyle w:val="BodyText"/>
        <w:numPr>
          <w:ilvl w:val="0"/>
          <w:numId w:val="16"/>
        </w:numPr>
        <w:ind w:left="714" w:hanging="357"/>
        <w:contextualSpacing/>
        <w:rPr>
          <w:b/>
          <w:bCs/>
          <w:lang w:val="en-US" w:eastAsia="zh-CN"/>
        </w:rPr>
      </w:pPr>
      <w:r>
        <w:rPr>
          <w:lang w:val="en-US" w:eastAsia="zh-CN"/>
        </w:rPr>
        <w:t>High PSD with full RB allocation</w:t>
      </w:r>
    </w:p>
    <w:p w14:paraId="0AC0A588" w14:textId="1B9AF759" w:rsidR="00056DFF" w:rsidRDefault="00056DFF" w:rsidP="00056DFF">
      <w:pPr>
        <w:pStyle w:val="BodyText"/>
        <w:contextualSpacing/>
        <w:rPr>
          <w:lang w:val="en-US" w:eastAsia="zh-CN"/>
        </w:rPr>
      </w:pPr>
    </w:p>
    <w:p w14:paraId="230FD9DD" w14:textId="062F40C9" w:rsidR="00056DFF" w:rsidRDefault="00056DFF" w:rsidP="00056DFF">
      <w:pPr>
        <w:pStyle w:val="BodyText"/>
        <w:contextualSpacing/>
        <w:rPr>
          <w:lang w:val="en-US" w:eastAsia="zh-CN"/>
        </w:rPr>
      </w:pPr>
      <w:r>
        <w:rPr>
          <w:lang w:val="en-US" w:eastAsia="zh-CN"/>
        </w:rPr>
        <w:lastRenderedPageBreak/>
        <w:t>It can be observed that the power change is greatest between 1) and 4). Therefore the most straightforward way to verify that IAB-MT meets the dynamic range requirement as intended is to do power measurement at these two corners, and specify the power difference to be the PSD difference + 10*log10(</w:t>
      </w:r>
      <w:proofErr w:type="spellStart"/>
      <w:r>
        <w:rPr>
          <w:lang w:val="en-US" w:eastAsia="zh-CN"/>
        </w:rPr>
        <w:t>Nrb</w:t>
      </w:r>
      <w:proofErr w:type="spellEnd"/>
      <w:r>
        <w:rPr>
          <w:lang w:val="en-US" w:eastAsia="zh-CN"/>
        </w:rPr>
        <w:t>).</w:t>
      </w:r>
    </w:p>
    <w:p w14:paraId="72EB0CE7" w14:textId="77777777" w:rsidR="00056DFF" w:rsidRDefault="00056DFF" w:rsidP="00056DFF">
      <w:pPr>
        <w:pStyle w:val="BodyText"/>
        <w:contextualSpacing/>
        <w:rPr>
          <w:lang w:val="en-US" w:eastAsia="zh-CN"/>
        </w:rPr>
      </w:pPr>
    </w:p>
    <w:p w14:paraId="5DD506BB" w14:textId="5C0BAEFF" w:rsidR="00056DFF" w:rsidRDefault="00056DFF" w:rsidP="00056DFF">
      <w:pPr>
        <w:pStyle w:val="BodyText"/>
        <w:contextualSpacing/>
        <w:rPr>
          <w:b/>
          <w:bCs/>
          <w:lang w:val="en-US" w:eastAsia="zh-CN"/>
        </w:rPr>
      </w:pPr>
      <w:r w:rsidRPr="00056DFF">
        <w:rPr>
          <w:b/>
          <w:bCs/>
          <w:lang w:val="en-US" w:eastAsia="zh-CN"/>
        </w:rPr>
        <w:t>Proposal 1:</w:t>
      </w:r>
      <w:r>
        <w:rPr>
          <w:b/>
          <w:bCs/>
          <w:lang w:val="en-US" w:eastAsia="zh-CN"/>
        </w:rPr>
        <w:t xml:space="preserve"> Test points for dynamic range is set to Low PSD with narrow RB allocation and high PSD with full RB allocation.</w:t>
      </w:r>
    </w:p>
    <w:p w14:paraId="47454AF9" w14:textId="485A003B" w:rsidR="00056DFF" w:rsidRDefault="00056DFF" w:rsidP="00056DFF">
      <w:pPr>
        <w:pStyle w:val="BodyText"/>
        <w:contextualSpacing/>
        <w:rPr>
          <w:b/>
          <w:bCs/>
          <w:lang w:val="en-US" w:eastAsia="zh-CN"/>
        </w:rPr>
      </w:pPr>
    </w:p>
    <w:p w14:paraId="3FC7C61A" w14:textId="6DB68259" w:rsidR="00056DFF" w:rsidRDefault="00056DFF" w:rsidP="00056DFF">
      <w:pPr>
        <w:pStyle w:val="BodyText"/>
        <w:contextualSpacing/>
        <w:rPr>
          <w:b/>
          <w:bCs/>
          <w:lang w:val="en-US" w:eastAsia="zh-CN"/>
        </w:rPr>
      </w:pPr>
      <w:r>
        <w:rPr>
          <w:b/>
          <w:bCs/>
          <w:lang w:val="en-US" w:eastAsia="zh-CN"/>
        </w:rPr>
        <w:t xml:space="preserve">Proposal 2: Test requirement for dynamic range is PSD difference added to </w:t>
      </w:r>
      <w:r w:rsidR="00974713">
        <w:rPr>
          <w:b/>
          <w:bCs/>
          <w:lang w:val="en-US" w:eastAsia="zh-CN"/>
        </w:rPr>
        <w:t>the 10-base logarithm of difference of allocation sizes of the reference conditions.</w:t>
      </w:r>
    </w:p>
    <w:p w14:paraId="0DB37963" w14:textId="3944718E" w:rsidR="00974713" w:rsidRDefault="00974713" w:rsidP="00056DFF">
      <w:pPr>
        <w:pStyle w:val="BodyText"/>
        <w:contextualSpacing/>
        <w:rPr>
          <w:b/>
          <w:bCs/>
          <w:lang w:val="en-US" w:eastAsia="zh-CN"/>
        </w:rPr>
      </w:pPr>
    </w:p>
    <w:p w14:paraId="11C51CF8" w14:textId="48F49855" w:rsidR="00974713" w:rsidRDefault="00005E67" w:rsidP="00056DFF">
      <w:pPr>
        <w:pStyle w:val="BodyText"/>
        <w:contextualSpacing/>
        <w:rPr>
          <w:lang w:val="en-US" w:eastAsia="zh-CN"/>
        </w:rPr>
      </w:pPr>
      <w:r>
        <w:rPr>
          <w:lang w:val="en-US" w:eastAsia="zh-CN"/>
        </w:rPr>
        <w:t>Next power control requirement is considered. While there is close relationship to dynamic range requirement, it is necessary to separate power control and dynamic range test cases from each other, as power control requirements are only defined for local area IAB-MT.</w:t>
      </w:r>
    </w:p>
    <w:p w14:paraId="6A84CD71" w14:textId="77D272F4" w:rsidR="00005E67" w:rsidRDefault="00005E67" w:rsidP="00056DFF">
      <w:pPr>
        <w:pStyle w:val="BodyText"/>
        <w:contextualSpacing/>
        <w:rPr>
          <w:lang w:val="en-US" w:eastAsia="zh-CN"/>
        </w:rPr>
      </w:pPr>
    </w:p>
    <w:p w14:paraId="5F90F96B" w14:textId="2517FF28" w:rsidR="00005E67" w:rsidRDefault="00005E67" w:rsidP="00056DFF">
      <w:pPr>
        <w:pStyle w:val="BodyText"/>
        <w:contextualSpacing/>
        <w:rPr>
          <w:b/>
          <w:bCs/>
          <w:lang w:val="en-US" w:eastAsia="zh-CN"/>
        </w:rPr>
      </w:pPr>
      <w:r w:rsidRPr="00005E67">
        <w:rPr>
          <w:b/>
          <w:bCs/>
          <w:lang w:val="en-US" w:eastAsia="zh-CN"/>
        </w:rPr>
        <w:t>Proposal 3:</w:t>
      </w:r>
      <w:r>
        <w:rPr>
          <w:b/>
          <w:bCs/>
          <w:lang w:val="en-US" w:eastAsia="zh-CN"/>
        </w:rPr>
        <w:t xml:space="preserve"> Dynamic range and power control tests are defined separately.</w:t>
      </w:r>
    </w:p>
    <w:p w14:paraId="24A468B7" w14:textId="4A63D5B0" w:rsidR="00005E67" w:rsidRDefault="00005E67" w:rsidP="00056DFF">
      <w:pPr>
        <w:pStyle w:val="BodyText"/>
        <w:contextualSpacing/>
        <w:rPr>
          <w:b/>
          <w:bCs/>
          <w:lang w:val="en-US" w:eastAsia="zh-CN"/>
        </w:rPr>
      </w:pPr>
    </w:p>
    <w:p w14:paraId="73098B31" w14:textId="2DEBE67D" w:rsidR="00005E67" w:rsidRDefault="00005E67" w:rsidP="00056DFF">
      <w:pPr>
        <w:pStyle w:val="BodyText"/>
        <w:contextualSpacing/>
        <w:rPr>
          <w:lang w:val="en-US" w:eastAsia="zh-CN"/>
        </w:rPr>
      </w:pPr>
      <w:r w:rsidRPr="00005E67">
        <w:rPr>
          <w:lang w:val="en-US" w:eastAsia="zh-CN"/>
        </w:rPr>
        <w:t xml:space="preserve">Power </w:t>
      </w:r>
      <w:r>
        <w:rPr>
          <w:lang w:val="en-US" w:eastAsia="zh-CN"/>
        </w:rPr>
        <w:t xml:space="preserve">control requirements are specified for relative and aggregate power tolerance in core specification. Relative power tolerance measures that transmitter can set the output power at correct level relative to previously transmitted subframe, as long as the gap between subframes is </w:t>
      </w:r>
      <w:proofErr w:type="spellStart"/>
      <w:r>
        <w:rPr>
          <w:lang w:val="en-US" w:eastAsia="zh-CN"/>
        </w:rPr>
        <w:t>not longer</w:t>
      </w:r>
      <w:proofErr w:type="spellEnd"/>
      <w:r>
        <w:rPr>
          <w:lang w:val="en-US" w:eastAsia="zh-CN"/>
        </w:rPr>
        <w:t xml:space="preserve"> than 20 </w:t>
      </w:r>
      <w:proofErr w:type="spellStart"/>
      <w:r>
        <w:rPr>
          <w:lang w:val="en-US" w:eastAsia="zh-CN"/>
        </w:rPr>
        <w:t>ms.</w:t>
      </w:r>
      <w:proofErr w:type="spellEnd"/>
      <w:r>
        <w:rPr>
          <w:lang w:val="en-US" w:eastAsia="zh-CN"/>
        </w:rPr>
        <w:t xml:space="preserve"> Requirements are defined for number of different power control step sizes in the core specification. </w:t>
      </w:r>
    </w:p>
    <w:p w14:paraId="4DF6195C" w14:textId="7537B0FD" w:rsidR="00005E67" w:rsidRDefault="00005E67" w:rsidP="00056DFF">
      <w:pPr>
        <w:pStyle w:val="BodyText"/>
        <w:contextualSpacing/>
        <w:rPr>
          <w:lang w:val="en-US" w:eastAsia="zh-CN"/>
        </w:rPr>
      </w:pPr>
    </w:p>
    <w:p w14:paraId="748DE08E" w14:textId="18555DF1" w:rsidR="00005E67" w:rsidRDefault="00005E67" w:rsidP="00056DFF">
      <w:pPr>
        <w:pStyle w:val="BodyText"/>
        <w:contextualSpacing/>
        <w:rPr>
          <w:lang w:val="en-US" w:eastAsia="zh-CN"/>
        </w:rPr>
      </w:pPr>
      <w:r>
        <w:rPr>
          <w:lang w:val="en-US" w:eastAsia="zh-CN"/>
        </w:rPr>
        <w:t>Given that the power control dynamic range is only 10 dB with constant RB allocation, and that the dynamics in the fixed backhaul link are likely smaller than in a link associated with moving UE, it is most reasonable to concentrate test efforts into smallest power step sizes. This way to power control tolerance is also smaller and the test is not automatically passed by tolerances being as large as the minimum required dynamic range.</w:t>
      </w:r>
    </w:p>
    <w:p w14:paraId="7D75F515" w14:textId="27BA7953" w:rsidR="00005E67" w:rsidRDefault="00005E67" w:rsidP="00056DFF">
      <w:pPr>
        <w:pStyle w:val="BodyText"/>
        <w:contextualSpacing/>
        <w:rPr>
          <w:lang w:val="en-US" w:eastAsia="zh-CN"/>
        </w:rPr>
      </w:pPr>
    </w:p>
    <w:p w14:paraId="37CD339A" w14:textId="669549A5" w:rsidR="007E7CC7" w:rsidRDefault="007E7CC7" w:rsidP="00056DFF">
      <w:pPr>
        <w:pStyle w:val="BodyText"/>
        <w:contextualSpacing/>
        <w:rPr>
          <w:b/>
          <w:bCs/>
          <w:lang w:val="en-US" w:eastAsia="zh-CN"/>
        </w:rPr>
      </w:pPr>
      <w:r w:rsidRPr="007E7CC7">
        <w:rPr>
          <w:b/>
          <w:bCs/>
          <w:lang w:val="en-US" w:eastAsia="zh-CN"/>
        </w:rPr>
        <w:t xml:space="preserve">Proposal 4: </w:t>
      </w:r>
      <w:r>
        <w:rPr>
          <w:b/>
          <w:bCs/>
          <w:lang w:val="en-US" w:eastAsia="zh-CN"/>
        </w:rPr>
        <w:t>Relative power tolerance test efforts should be concentrated on verifying smallest power control step sizes when RB allocation is kept constant.</w:t>
      </w:r>
    </w:p>
    <w:p w14:paraId="20CC83CE" w14:textId="60E92E68" w:rsidR="007E7CC7" w:rsidRDefault="007E7CC7" w:rsidP="00056DFF">
      <w:pPr>
        <w:pStyle w:val="BodyText"/>
        <w:contextualSpacing/>
        <w:rPr>
          <w:b/>
          <w:bCs/>
          <w:lang w:val="en-US" w:eastAsia="zh-CN"/>
        </w:rPr>
      </w:pPr>
    </w:p>
    <w:p w14:paraId="2E728EB1" w14:textId="7AA138CC" w:rsidR="00005E67" w:rsidRDefault="007E7CC7" w:rsidP="00056DFF">
      <w:pPr>
        <w:pStyle w:val="BodyText"/>
        <w:contextualSpacing/>
        <w:rPr>
          <w:lang w:val="en-US" w:eastAsia="zh-CN"/>
        </w:rPr>
      </w:pPr>
      <w:r>
        <w:rPr>
          <w:lang w:val="en-US" w:eastAsia="zh-CN"/>
        </w:rPr>
        <w:t xml:space="preserve">Aggregate power tolerance is intended to verify that IAB-MT can keep the output power constant when 0dB power steps are sent. </w:t>
      </w:r>
      <w:r w:rsidR="007F7E4F">
        <w:rPr>
          <w:lang w:val="en-US" w:eastAsia="zh-CN"/>
        </w:rPr>
        <w:t>It appears extremely likely that a fixed infrastructure node backhaul would operate in this kind of fixed power condition most of its lifetime, and for base station manufacturer is it a scenario where output power starts to drift when not told to do so is practically unimaginable. One could consider that even basic output power measurements might not pass if output power is not stable. Therefore, it is not fully clear if a separate test for aggregate power tolerance is needed, while surely the functionality it aims to verify is extremely important.</w:t>
      </w:r>
    </w:p>
    <w:p w14:paraId="22A60619" w14:textId="735E5B32" w:rsidR="007E7CC7" w:rsidRDefault="007E7CC7" w:rsidP="00056DFF">
      <w:pPr>
        <w:pStyle w:val="BodyText"/>
        <w:contextualSpacing/>
        <w:rPr>
          <w:lang w:val="en-US" w:eastAsia="zh-CN"/>
        </w:rPr>
      </w:pPr>
    </w:p>
    <w:p w14:paraId="05DD8BDF" w14:textId="73F2B1FC" w:rsidR="007E7CC7" w:rsidRPr="007E7CC7" w:rsidRDefault="007F7E4F" w:rsidP="00056DFF">
      <w:pPr>
        <w:pStyle w:val="BodyText"/>
        <w:contextualSpacing/>
        <w:rPr>
          <w:b/>
          <w:bCs/>
          <w:lang w:val="en-US" w:eastAsia="zh-CN"/>
        </w:rPr>
      </w:pPr>
      <w:r>
        <w:rPr>
          <w:b/>
          <w:bCs/>
          <w:lang w:val="en-US" w:eastAsia="zh-CN"/>
        </w:rPr>
        <w:t>Observation 1: Aggregate power tolerance appears to test such basic functionality without which any node cannot function properly. It could be considered to be met already by basic output power measurements.</w:t>
      </w:r>
    </w:p>
    <w:p w14:paraId="48DD89DE" w14:textId="77777777" w:rsidR="007E7CC7" w:rsidRDefault="007E7CC7" w:rsidP="00056DFF">
      <w:pPr>
        <w:pStyle w:val="BodyText"/>
        <w:contextualSpacing/>
        <w:rPr>
          <w:b/>
          <w:bCs/>
          <w:lang w:val="en-US" w:eastAsia="zh-CN"/>
        </w:rPr>
      </w:pPr>
    </w:p>
    <w:p w14:paraId="0925685E" w14:textId="13FF6EF9" w:rsidR="00600FAF" w:rsidRPr="00600FAF" w:rsidRDefault="00600FAF" w:rsidP="00056DFF">
      <w:pPr>
        <w:pStyle w:val="BodyText"/>
        <w:contextualSpacing/>
        <w:rPr>
          <w:lang w:val="en-US" w:eastAsia="zh-CN"/>
        </w:rPr>
      </w:pPr>
      <w:r>
        <w:rPr>
          <w:lang w:val="en-US" w:eastAsia="zh-CN"/>
        </w:rPr>
        <w:t>Finally</w:t>
      </w:r>
      <w:r w:rsidR="004A29C6">
        <w:rPr>
          <w:lang w:val="en-US" w:eastAsia="zh-CN"/>
        </w:rPr>
        <w:t>,</w:t>
      </w:r>
      <w:r>
        <w:rPr>
          <w:lang w:val="en-US" w:eastAsia="zh-CN"/>
        </w:rPr>
        <w:t xml:space="preserve"> frequency error is considered. Unlike base stations and IAB-DU, IAB-MT needs to meet frequency error relative to the frequency received from parent node. In a test scenario test equipment acts as parent node, i.e. guidelines need to be set what is sent from test equipment to set the reference frequency. Otherwise, frequency error result is obtained together with other transmitted signal quality measurements, and the test does not require further updates compared to base station test for frequency error.</w:t>
      </w:r>
    </w:p>
    <w:p w14:paraId="0ED3CDE7" w14:textId="77777777" w:rsidR="00600FAF" w:rsidRDefault="00600FAF" w:rsidP="00600FAF">
      <w:pPr>
        <w:pStyle w:val="BodyText"/>
        <w:contextualSpacing/>
        <w:rPr>
          <w:b/>
          <w:bCs/>
          <w:lang w:val="en-US" w:eastAsia="zh-CN"/>
        </w:rPr>
      </w:pPr>
    </w:p>
    <w:p w14:paraId="1848D73E" w14:textId="31D89A5E" w:rsidR="00600FAF" w:rsidRPr="00600FAF" w:rsidRDefault="00600FAF" w:rsidP="004A29C6">
      <w:pPr>
        <w:pStyle w:val="BodyText"/>
        <w:contextualSpacing/>
        <w:rPr>
          <w:b/>
          <w:bCs/>
          <w:lang w:val="en-US" w:eastAsia="zh-CN"/>
        </w:rPr>
      </w:pPr>
      <w:r w:rsidRPr="00600FAF">
        <w:rPr>
          <w:b/>
          <w:bCs/>
          <w:lang w:val="en-US" w:eastAsia="zh-CN"/>
        </w:rPr>
        <w:t xml:space="preserve">Observation 2: Either a new test model are some other guidelines are needed on how measurement equipment behaves in </w:t>
      </w:r>
      <w:r w:rsidR="00C103F3">
        <w:rPr>
          <w:b/>
          <w:bCs/>
          <w:lang w:val="en-US" w:eastAsia="zh-CN"/>
        </w:rPr>
        <w:t xml:space="preserve">IAB-MT </w:t>
      </w:r>
      <w:r w:rsidRPr="00600FAF">
        <w:rPr>
          <w:b/>
          <w:bCs/>
          <w:lang w:val="en-US" w:eastAsia="zh-CN"/>
        </w:rPr>
        <w:t>frequency error test</w:t>
      </w:r>
      <w:r w:rsidR="00C103F3">
        <w:rPr>
          <w:b/>
          <w:bCs/>
          <w:lang w:val="en-US" w:eastAsia="zh-CN"/>
        </w:rPr>
        <w:t>.</w:t>
      </w:r>
    </w:p>
    <w:p w14:paraId="6EEA92CC" w14:textId="715B5AB2" w:rsidR="00600FAF" w:rsidRDefault="00600FAF" w:rsidP="0038760F">
      <w:pPr>
        <w:pStyle w:val="BodyText"/>
        <w:rPr>
          <w:lang w:val="en-US" w:eastAsia="zh-CN"/>
        </w:rPr>
      </w:pPr>
    </w:p>
    <w:p w14:paraId="58B35D71" w14:textId="3283F465" w:rsidR="004A29C6" w:rsidRPr="00600FAF" w:rsidRDefault="004A29C6" w:rsidP="0038760F">
      <w:pPr>
        <w:pStyle w:val="BodyText"/>
        <w:rPr>
          <w:lang w:val="en-US" w:eastAsia="zh-CN"/>
        </w:rPr>
      </w:pPr>
      <w:r>
        <w:rPr>
          <w:lang w:val="en-US" w:eastAsia="zh-CN"/>
        </w:rPr>
        <w:t>The considerations in this contribution are general and applicable also for conducted conformance testing. Therefore we propose to consider the observations and proposals for both radiated and conducted testing.</w:t>
      </w:r>
    </w:p>
    <w:p w14:paraId="432918EE" w14:textId="10151626" w:rsidR="00974713" w:rsidRPr="007356BD" w:rsidRDefault="00974713" w:rsidP="0038760F">
      <w:pPr>
        <w:pStyle w:val="BodyText"/>
        <w:rPr>
          <w:b/>
          <w:bCs/>
          <w:lang w:val="en-US" w:eastAsia="zh-CN"/>
        </w:rPr>
      </w:pPr>
      <w:r>
        <w:rPr>
          <w:b/>
          <w:bCs/>
          <w:lang w:val="en-US" w:eastAsia="zh-CN"/>
        </w:rPr>
        <w:t xml:space="preserve">Proposal </w:t>
      </w:r>
      <w:r w:rsidR="004A29C6">
        <w:rPr>
          <w:b/>
          <w:bCs/>
          <w:lang w:val="en-US" w:eastAsia="zh-CN"/>
        </w:rPr>
        <w:t>5</w:t>
      </w:r>
      <w:r>
        <w:rPr>
          <w:b/>
          <w:bCs/>
          <w:lang w:val="en-US" w:eastAsia="zh-CN"/>
        </w:rPr>
        <w:t>: Adopt the same considerations also for conducted testing.</w:t>
      </w:r>
    </w:p>
    <w:p w14:paraId="3A7886CD" w14:textId="573F4241" w:rsidR="0012171E" w:rsidRDefault="00065A7B" w:rsidP="009E2215">
      <w:pPr>
        <w:pStyle w:val="Heading1"/>
        <w:rPr>
          <w:lang w:eastAsia="zh-CN"/>
        </w:rPr>
      </w:pPr>
      <w:proofErr w:type="spellStart"/>
      <w:r>
        <w:rPr>
          <w:lang w:eastAsia="zh-CN"/>
        </w:rPr>
        <w:lastRenderedPageBreak/>
        <w:t>Conclusion</w:t>
      </w:r>
      <w:proofErr w:type="spellEnd"/>
      <w:r w:rsidR="009E2215">
        <w:rPr>
          <w:lang w:eastAsia="zh-CN"/>
        </w:rPr>
        <w:t xml:space="preserve"> </w:t>
      </w:r>
    </w:p>
    <w:p w14:paraId="39231841" w14:textId="73D2C66A" w:rsidR="00BA1B29" w:rsidRDefault="00BA1B29" w:rsidP="00072E4E">
      <w:pPr>
        <w:rPr>
          <w:lang w:val="sv-SE" w:eastAsia="zh-CN"/>
        </w:rPr>
      </w:pPr>
      <w:r>
        <w:rPr>
          <w:lang w:val="sv-SE" w:eastAsia="zh-CN"/>
        </w:rPr>
        <w:t xml:space="preserve">In </w:t>
      </w:r>
      <w:proofErr w:type="spellStart"/>
      <w:r>
        <w:rPr>
          <w:lang w:val="sv-SE" w:eastAsia="zh-CN"/>
        </w:rPr>
        <w:t>this</w:t>
      </w:r>
      <w:proofErr w:type="spellEnd"/>
      <w:r>
        <w:rPr>
          <w:lang w:val="sv-SE" w:eastAsia="zh-CN"/>
        </w:rPr>
        <w:t xml:space="preserve"> </w:t>
      </w:r>
      <w:proofErr w:type="spellStart"/>
      <w:r>
        <w:rPr>
          <w:lang w:val="sv-SE" w:eastAsia="zh-CN"/>
        </w:rPr>
        <w:t>contribution</w:t>
      </w:r>
      <w:proofErr w:type="spellEnd"/>
      <w:r>
        <w:rPr>
          <w:lang w:val="sv-SE" w:eastAsia="zh-CN"/>
        </w:rPr>
        <w:t xml:space="preserve"> the </w:t>
      </w:r>
      <w:r w:rsidR="00F97625">
        <w:rPr>
          <w:lang w:eastAsia="zh-CN"/>
        </w:rPr>
        <w:t>the radiated testing of</w:t>
      </w:r>
      <w:r w:rsidR="00600FAF">
        <w:rPr>
          <w:lang w:eastAsia="zh-CN"/>
        </w:rPr>
        <w:t xml:space="preserve"> IAB-MT T</w:t>
      </w:r>
      <w:r w:rsidR="00F97625">
        <w:rPr>
          <w:lang w:eastAsia="zh-CN"/>
        </w:rPr>
        <w:t>x requirements was discussed</w:t>
      </w:r>
      <w:r w:rsidR="00600FAF">
        <w:rPr>
          <w:lang w:eastAsia="zh-CN"/>
        </w:rPr>
        <w:t xml:space="preserve"> and differences to base station testing were highlighted</w:t>
      </w:r>
      <w:r w:rsidR="007356BD">
        <w:rPr>
          <w:lang w:val="sv-SE" w:eastAsia="zh-CN"/>
        </w:rPr>
        <w:t xml:space="preserve">. The </w:t>
      </w:r>
      <w:proofErr w:type="spellStart"/>
      <w:r w:rsidR="007356BD">
        <w:rPr>
          <w:lang w:val="sv-SE" w:eastAsia="zh-CN"/>
        </w:rPr>
        <w:t>following</w:t>
      </w:r>
      <w:proofErr w:type="spellEnd"/>
      <w:r w:rsidR="007356BD">
        <w:rPr>
          <w:lang w:val="sv-SE" w:eastAsia="zh-CN"/>
        </w:rPr>
        <w:t xml:space="preserve"> observations and </w:t>
      </w:r>
      <w:proofErr w:type="spellStart"/>
      <w:r w:rsidR="007356BD">
        <w:rPr>
          <w:lang w:val="sv-SE" w:eastAsia="zh-CN"/>
        </w:rPr>
        <w:t>proposals</w:t>
      </w:r>
      <w:proofErr w:type="spellEnd"/>
      <w:r w:rsidR="007356BD">
        <w:rPr>
          <w:lang w:val="sv-SE" w:eastAsia="zh-CN"/>
        </w:rPr>
        <w:t xml:space="preserve"> </w:t>
      </w:r>
      <w:proofErr w:type="spellStart"/>
      <w:r w:rsidR="007356BD">
        <w:rPr>
          <w:lang w:val="sv-SE" w:eastAsia="zh-CN"/>
        </w:rPr>
        <w:t>were</w:t>
      </w:r>
      <w:proofErr w:type="spellEnd"/>
      <w:r w:rsidR="007356BD">
        <w:rPr>
          <w:lang w:val="sv-SE" w:eastAsia="zh-CN"/>
        </w:rPr>
        <w:t xml:space="preserve"> </w:t>
      </w:r>
      <w:proofErr w:type="spellStart"/>
      <w:r w:rsidR="007356BD">
        <w:rPr>
          <w:lang w:val="sv-SE" w:eastAsia="zh-CN"/>
        </w:rPr>
        <w:t>made</w:t>
      </w:r>
      <w:proofErr w:type="spellEnd"/>
      <w:r w:rsidR="007356BD">
        <w:rPr>
          <w:lang w:val="sv-SE" w:eastAsia="zh-CN"/>
        </w:rPr>
        <w:t>.</w:t>
      </w:r>
    </w:p>
    <w:p w14:paraId="075B0CC5" w14:textId="77777777" w:rsidR="004A29C6" w:rsidRPr="007E7CC7" w:rsidRDefault="004A29C6" w:rsidP="004A29C6">
      <w:pPr>
        <w:pStyle w:val="BodyText"/>
        <w:contextualSpacing/>
        <w:rPr>
          <w:b/>
          <w:bCs/>
          <w:lang w:val="en-US" w:eastAsia="zh-CN"/>
        </w:rPr>
      </w:pPr>
      <w:r>
        <w:rPr>
          <w:b/>
          <w:bCs/>
          <w:lang w:val="en-US" w:eastAsia="zh-CN"/>
        </w:rPr>
        <w:t>Observation 1: Aggregate power tolerance appears to test such basic functionality without which any node cannot function properly. It could be considered to be met already by basic output power measurements.</w:t>
      </w:r>
    </w:p>
    <w:p w14:paraId="4B059125" w14:textId="77777777" w:rsidR="004A29C6" w:rsidRDefault="004A29C6" w:rsidP="004A29C6">
      <w:pPr>
        <w:pStyle w:val="BodyText"/>
        <w:contextualSpacing/>
        <w:rPr>
          <w:b/>
          <w:bCs/>
          <w:lang w:val="en-US" w:eastAsia="zh-CN"/>
        </w:rPr>
      </w:pPr>
    </w:p>
    <w:p w14:paraId="2F9E1F65" w14:textId="33DCC307" w:rsidR="004A29C6" w:rsidRDefault="004A29C6" w:rsidP="004A29C6">
      <w:pPr>
        <w:pStyle w:val="BodyText"/>
        <w:contextualSpacing/>
        <w:rPr>
          <w:b/>
          <w:bCs/>
          <w:lang w:val="en-US" w:eastAsia="zh-CN"/>
        </w:rPr>
      </w:pPr>
      <w:r w:rsidRPr="00600FAF">
        <w:rPr>
          <w:b/>
          <w:bCs/>
          <w:lang w:val="en-US" w:eastAsia="zh-CN"/>
        </w:rPr>
        <w:t xml:space="preserve">Observation 2: Either a new test model are some other guidelines are needed on how measurement equipment behaves in </w:t>
      </w:r>
      <w:bookmarkStart w:id="0" w:name="_GoBack"/>
      <w:bookmarkEnd w:id="0"/>
      <w:r w:rsidR="00C103F3">
        <w:rPr>
          <w:b/>
          <w:bCs/>
          <w:lang w:val="en-US" w:eastAsia="zh-CN"/>
        </w:rPr>
        <w:t>IAB-MT f</w:t>
      </w:r>
      <w:r w:rsidRPr="00600FAF">
        <w:rPr>
          <w:b/>
          <w:bCs/>
          <w:lang w:val="en-US" w:eastAsia="zh-CN"/>
        </w:rPr>
        <w:t>requency error test.</w:t>
      </w:r>
    </w:p>
    <w:p w14:paraId="73470A17" w14:textId="77777777" w:rsidR="004A29C6" w:rsidRDefault="004A29C6" w:rsidP="004A29C6">
      <w:pPr>
        <w:pStyle w:val="BodyText"/>
        <w:contextualSpacing/>
        <w:rPr>
          <w:b/>
          <w:bCs/>
          <w:lang w:val="en-US" w:eastAsia="zh-CN"/>
        </w:rPr>
      </w:pPr>
    </w:p>
    <w:p w14:paraId="02C41FFA" w14:textId="574AFFE0" w:rsidR="004A29C6" w:rsidRDefault="004A29C6" w:rsidP="004A29C6">
      <w:pPr>
        <w:pStyle w:val="BodyText"/>
        <w:contextualSpacing/>
        <w:rPr>
          <w:b/>
          <w:bCs/>
          <w:lang w:val="en-US" w:eastAsia="zh-CN"/>
        </w:rPr>
      </w:pPr>
      <w:r w:rsidRPr="00056DFF">
        <w:rPr>
          <w:b/>
          <w:bCs/>
          <w:lang w:val="en-US" w:eastAsia="zh-CN"/>
        </w:rPr>
        <w:t>Proposal 1:</w:t>
      </w:r>
      <w:r>
        <w:rPr>
          <w:b/>
          <w:bCs/>
          <w:lang w:val="en-US" w:eastAsia="zh-CN"/>
        </w:rPr>
        <w:t xml:space="preserve"> Test points for dynamic range is set to Low PSD with narrow RB allocation and high PSD with full RB allocation.</w:t>
      </w:r>
    </w:p>
    <w:p w14:paraId="390B704B" w14:textId="77777777" w:rsidR="004A29C6" w:rsidRDefault="004A29C6" w:rsidP="004A29C6">
      <w:pPr>
        <w:pStyle w:val="BodyText"/>
        <w:contextualSpacing/>
        <w:rPr>
          <w:b/>
          <w:bCs/>
          <w:lang w:val="en-US" w:eastAsia="zh-CN"/>
        </w:rPr>
      </w:pPr>
    </w:p>
    <w:p w14:paraId="06DFC91D" w14:textId="77777777" w:rsidR="004A29C6" w:rsidRDefault="004A29C6" w:rsidP="004A29C6">
      <w:pPr>
        <w:pStyle w:val="BodyText"/>
        <w:contextualSpacing/>
        <w:rPr>
          <w:b/>
          <w:bCs/>
          <w:lang w:val="en-US" w:eastAsia="zh-CN"/>
        </w:rPr>
      </w:pPr>
      <w:r>
        <w:rPr>
          <w:b/>
          <w:bCs/>
          <w:lang w:val="en-US" w:eastAsia="zh-CN"/>
        </w:rPr>
        <w:t>Proposal 2: Test requirement for dynamic range is PSD difference added to the 10-base logarithm of difference of allocation sizes of the reference conditions.</w:t>
      </w:r>
    </w:p>
    <w:p w14:paraId="02B4C0F1" w14:textId="77777777" w:rsidR="004A29C6" w:rsidRDefault="004A29C6" w:rsidP="004A29C6">
      <w:pPr>
        <w:pStyle w:val="BodyText"/>
        <w:contextualSpacing/>
        <w:rPr>
          <w:lang w:val="en-US" w:eastAsia="zh-CN"/>
        </w:rPr>
      </w:pPr>
    </w:p>
    <w:p w14:paraId="6B5A96DE" w14:textId="77777777" w:rsidR="004A29C6" w:rsidRDefault="004A29C6" w:rsidP="004A29C6">
      <w:pPr>
        <w:pStyle w:val="BodyText"/>
        <w:contextualSpacing/>
        <w:rPr>
          <w:b/>
          <w:bCs/>
          <w:lang w:val="en-US" w:eastAsia="zh-CN"/>
        </w:rPr>
      </w:pPr>
      <w:r w:rsidRPr="00005E67">
        <w:rPr>
          <w:b/>
          <w:bCs/>
          <w:lang w:val="en-US" w:eastAsia="zh-CN"/>
        </w:rPr>
        <w:t>Proposal 3:</w:t>
      </w:r>
      <w:r>
        <w:rPr>
          <w:b/>
          <w:bCs/>
          <w:lang w:val="en-US" w:eastAsia="zh-CN"/>
        </w:rPr>
        <w:t xml:space="preserve"> Dynamic range and power control tests are defined separately.</w:t>
      </w:r>
    </w:p>
    <w:p w14:paraId="2375FD62" w14:textId="77777777" w:rsidR="004A29C6" w:rsidRDefault="004A29C6" w:rsidP="004A29C6">
      <w:pPr>
        <w:pStyle w:val="BodyText"/>
        <w:contextualSpacing/>
        <w:rPr>
          <w:lang w:val="en-US" w:eastAsia="zh-CN"/>
        </w:rPr>
      </w:pPr>
    </w:p>
    <w:p w14:paraId="00865F6A" w14:textId="77777777" w:rsidR="004A29C6" w:rsidRDefault="004A29C6" w:rsidP="004A29C6">
      <w:pPr>
        <w:pStyle w:val="BodyText"/>
        <w:contextualSpacing/>
        <w:rPr>
          <w:b/>
          <w:bCs/>
          <w:lang w:val="en-US" w:eastAsia="zh-CN"/>
        </w:rPr>
      </w:pPr>
      <w:r w:rsidRPr="007E7CC7">
        <w:rPr>
          <w:b/>
          <w:bCs/>
          <w:lang w:val="en-US" w:eastAsia="zh-CN"/>
        </w:rPr>
        <w:t xml:space="preserve">Proposal 4: </w:t>
      </w:r>
      <w:r>
        <w:rPr>
          <w:b/>
          <w:bCs/>
          <w:lang w:val="en-US" w:eastAsia="zh-CN"/>
        </w:rPr>
        <w:t>Relative power tolerance test efforts should be concentrated on verifying smallest power control step sizes when RB allocation is kept constant.</w:t>
      </w:r>
    </w:p>
    <w:p w14:paraId="6D0FFE3A" w14:textId="77777777" w:rsidR="004A29C6" w:rsidRPr="00600FAF" w:rsidRDefault="004A29C6" w:rsidP="004A29C6">
      <w:pPr>
        <w:pStyle w:val="BodyText"/>
        <w:contextualSpacing/>
        <w:rPr>
          <w:b/>
          <w:bCs/>
          <w:lang w:val="en-US" w:eastAsia="zh-CN"/>
        </w:rPr>
      </w:pPr>
    </w:p>
    <w:p w14:paraId="2A81D92A" w14:textId="60272F32" w:rsidR="004A29C6" w:rsidRDefault="004A29C6" w:rsidP="004A29C6">
      <w:pPr>
        <w:pStyle w:val="BodyText"/>
        <w:rPr>
          <w:b/>
          <w:bCs/>
          <w:lang w:val="en-US" w:eastAsia="zh-CN"/>
        </w:rPr>
      </w:pPr>
      <w:r>
        <w:rPr>
          <w:b/>
          <w:bCs/>
          <w:lang w:val="en-US" w:eastAsia="zh-CN"/>
        </w:rPr>
        <w:t>Proposal 5: Adopt the same considerations also for conducted testing.</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2308FF8E" w:rsidR="00065A7B" w:rsidRPr="00065A7B" w:rsidRDefault="00065A7B" w:rsidP="00065A7B">
      <w:pPr>
        <w:rPr>
          <w:lang w:val="en-US" w:eastAsia="ja-JP"/>
        </w:rPr>
      </w:pPr>
      <w:r>
        <w:rPr>
          <w:lang w:val="en-US" w:eastAsia="ja-JP"/>
        </w:rPr>
        <w:t xml:space="preserve">[1] </w:t>
      </w:r>
    </w:p>
    <w:sectPr w:rsidR="00065A7B" w:rsidRPr="00065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24694" w14:textId="77777777" w:rsidR="002A06F6" w:rsidRDefault="002A06F6" w:rsidP="001E365C">
      <w:pPr>
        <w:spacing w:after="0"/>
      </w:pPr>
      <w:r>
        <w:separator/>
      </w:r>
    </w:p>
  </w:endnote>
  <w:endnote w:type="continuationSeparator" w:id="0">
    <w:p w14:paraId="5106252F" w14:textId="77777777" w:rsidR="002A06F6" w:rsidRDefault="002A06F6" w:rsidP="001E365C">
      <w:pPr>
        <w:spacing w:after="0"/>
      </w:pPr>
      <w:r>
        <w:continuationSeparator/>
      </w:r>
    </w:p>
  </w:endnote>
  <w:endnote w:type="continuationNotice" w:id="1">
    <w:p w14:paraId="26886DA4" w14:textId="77777777" w:rsidR="002A06F6" w:rsidRDefault="002A0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3F709" w14:textId="77777777" w:rsidR="002A06F6" w:rsidRDefault="002A06F6" w:rsidP="001E365C">
      <w:pPr>
        <w:spacing w:after="0"/>
      </w:pPr>
      <w:r>
        <w:separator/>
      </w:r>
    </w:p>
  </w:footnote>
  <w:footnote w:type="continuationSeparator" w:id="0">
    <w:p w14:paraId="27EACFD5" w14:textId="77777777" w:rsidR="002A06F6" w:rsidRDefault="002A06F6" w:rsidP="001E365C">
      <w:pPr>
        <w:spacing w:after="0"/>
      </w:pPr>
      <w:r>
        <w:continuationSeparator/>
      </w:r>
    </w:p>
  </w:footnote>
  <w:footnote w:type="continuationNotice" w:id="1">
    <w:p w14:paraId="3E767FAD" w14:textId="77777777" w:rsidR="002A06F6" w:rsidRDefault="002A06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D11D2D"/>
    <w:multiLevelType w:val="hybridMultilevel"/>
    <w:tmpl w:val="E932E4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3172BB4"/>
    <w:multiLevelType w:val="hybridMultilevel"/>
    <w:tmpl w:val="8570A94E"/>
    <w:lvl w:ilvl="0" w:tplc="BACA6F92">
      <w:start w:val="1"/>
      <w:numFmt w:val="decimal"/>
      <w:lvlText w:val="%1)"/>
      <w:lvlJc w:val="left"/>
      <w:pPr>
        <w:ind w:left="720" w:hanging="360"/>
      </w:pPr>
      <w:rPr>
        <w:rFonts w:ascii="Times New Roman" w:eastAsiaTheme="minorEastAsia" w:hAnsi="Times New Roman" w:cs="Times New Roman"/>
        <w:b w:val="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8334CC1"/>
    <w:multiLevelType w:val="hybridMultilevel"/>
    <w:tmpl w:val="794274C8"/>
    <w:lvl w:ilvl="0" w:tplc="524CB20E">
      <w:start w:val="2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7"/>
  </w:num>
  <w:num w:numId="2">
    <w:abstractNumId w:val="4"/>
  </w:num>
  <w:num w:numId="3">
    <w:abstractNumId w:val="2"/>
  </w:num>
  <w:num w:numId="4">
    <w:abstractNumId w:val="10"/>
  </w:num>
  <w:num w:numId="5">
    <w:abstractNumId w:val="8"/>
  </w:num>
  <w:num w:numId="6">
    <w:abstractNumId w:val="0"/>
  </w:num>
  <w:num w:numId="7">
    <w:abstractNumId w:val="5"/>
  </w:num>
  <w:num w:numId="8">
    <w:abstractNumId w:val="13"/>
  </w:num>
  <w:num w:numId="9">
    <w:abstractNumId w:val="11"/>
  </w:num>
  <w:num w:numId="10">
    <w:abstractNumId w:val="1"/>
  </w:num>
  <w:num w:numId="11">
    <w:abstractNumId w:val="14"/>
  </w:num>
  <w:num w:numId="12">
    <w:abstractNumId w:val="9"/>
  </w:num>
  <w:num w:numId="13">
    <w:abstractNumId w:val="15"/>
  </w:num>
  <w:num w:numId="14">
    <w:abstractNumId w:val="12"/>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E67"/>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56DFF"/>
    <w:rsid w:val="0006266D"/>
    <w:rsid w:val="00064BAC"/>
    <w:rsid w:val="00065506"/>
    <w:rsid w:val="00065A7B"/>
    <w:rsid w:val="00072E4E"/>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699"/>
    <w:rsid w:val="000A1830"/>
    <w:rsid w:val="000A4121"/>
    <w:rsid w:val="000A4AA3"/>
    <w:rsid w:val="000A550E"/>
    <w:rsid w:val="000B1A55"/>
    <w:rsid w:val="000B20BB"/>
    <w:rsid w:val="000B2EF6"/>
    <w:rsid w:val="000B2FA6"/>
    <w:rsid w:val="000B467B"/>
    <w:rsid w:val="000B47A1"/>
    <w:rsid w:val="000B4AA0"/>
    <w:rsid w:val="000B5A3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6172A"/>
    <w:rsid w:val="00161BE7"/>
    <w:rsid w:val="00162548"/>
    <w:rsid w:val="00172183"/>
    <w:rsid w:val="00172AF5"/>
    <w:rsid w:val="001735B5"/>
    <w:rsid w:val="001751AB"/>
    <w:rsid w:val="00175A3F"/>
    <w:rsid w:val="001764A1"/>
    <w:rsid w:val="00176E5A"/>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5394"/>
    <w:rsid w:val="00235577"/>
    <w:rsid w:val="002435CA"/>
    <w:rsid w:val="0024469F"/>
    <w:rsid w:val="00252DB8"/>
    <w:rsid w:val="002537BC"/>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6F6"/>
    <w:rsid w:val="002A0CED"/>
    <w:rsid w:val="002A4CD0"/>
    <w:rsid w:val="002A7DA6"/>
    <w:rsid w:val="002B516C"/>
    <w:rsid w:val="002B5C6E"/>
    <w:rsid w:val="002B5D6C"/>
    <w:rsid w:val="002B5E1D"/>
    <w:rsid w:val="002B60C1"/>
    <w:rsid w:val="002B75A4"/>
    <w:rsid w:val="002C0040"/>
    <w:rsid w:val="002C0D0A"/>
    <w:rsid w:val="002C23F3"/>
    <w:rsid w:val="002C4B52"/>
    <w:rsid w:val="002D03E5"/>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669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9D8"/>
    <w:rsid w:val="003F5CE7"/>
    <w:rsid w:val="00400263"/>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29C6"/>
    <w:rsid w:val="004A495F"/>
    <w:rsid w:val="004A7544"/>
    <w:rsid w:val="004A77F7"/>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443FB"/>
    <w:rsid w:val="00553965"/>
    <w:rsid w:val="00562D5B"/>
    <w:rsid w:val="00564E25"/>
    <w:rsid w:val="005667EF"/>
    <w:rsid w:val="00571777"/>
    <w:rsid w:val="00580FF5"/>
    <w:rsid w:val="0058348E"/>
    <w:rsid w:val="0058519C"/>
    <w:rsid w:val="00586242"/>
    <w:rsid w:val="00586961"/>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0FAF"/>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46B"/>
    <w:rsid w:val="007107B7"/>
    <w:rsid w:val="007130A2"/>
    <w:rsid w:val="00715463"/>
    <w:rsid w:val="00730655"/>
    <w:rsid w:val="00731D77"/>
    <w:rsid w:val="00732360"/>
    <w:rsid w:val="0073390A"/>
    <w:rsid w:val="00733AAC"/>
    <w:rsid w:val="00734118"/>
    <w:rsid w:val="00734E64"/>
    <w:rsid w:val="007356BD"/>
    <w:rsid w:val="00735D0D"/>
    <w:rsid w:val="00736B37"/>
    <w:rsid w:val="007406C3"/>
    <w:rsid w:val="0074089F"/>
    <w:rsid w:val="00740A35"/>
    <w:rsid w:val="007520B4"/>
    <w:rsid w:val="0075511D"/>
    <w:rsid w:val="0076121E"/>
    <w:rsid w:val="00761E6F"/>
    <w:rsid w:val="007655D5"/>
    <w:rsid w:val="00771536"/>
    <w:rsid w:val="007763C1"/>
    <w:rsid w:val="00777E82"/>
    <w:rsid w:val="00781359"/>
    <w:rsid w:val="00781A52"/>
    <w:rsid w:val="0078318C"/>
    <w:rsid w:val="007835CE"/>
    <w:rsid w:val="00786921"/>
    <w:rsid w:val="00787A1D"/>
    <w:rsid w:val="00797996"/>
    <w:rsid w:val="00797DB9"/>
    <w:rsid w:val="007A1EAA"/>
    <w:rsid w:val="007A79FD"/>
    <w:rsid w:val="007B0B9D"/>
    <w:rsid w:val="007B0BBD"/>
    <w:rsid w:val="007B1131"/>
    <w:rsid w:val="007B555C"/>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E7CC7"/>
    <w:rsid w:val="007F057D"/>
    <w:rsid w:val="007F0873"/>
    <w:rsid w:val="007F0E1E"/>
    <w:rsid w:val="007F29A7"/>
    <w:rsid w:val="007F7A5A"/>
    <w:rsid w:val="007F7E4F"/>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44A0"/>
    <w:rsid w:val="008C60E9"/>
    <w:rsid w:val="008D14AD"/>
    <w:rsid w:val="008D1B7C"/>
    <w:rsid w:val="008D235F"/>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713"/>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5399"/>
    <w:rsid w:val="00A0758F"/>
    <w:rsid w:val="00A1570A"/>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D6B"/>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FA3"/>
    <w:rsid w:val="00BA084C"/>
    <w:rsid w:val="00BA1B29"/>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03F3"/>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102"/>
    <w:rsid w:val="00CF0D4E"/>
    <w:rsid w:val="00CF4156"/>
    <w:rsid w:val="00D009BE"/>
    <w:rsid w:val="00D00F6F"/>
    <w:rsid w:val="00D03D00"/>
    <w:rsid w:val="00D05C30"/>
    <w:rsid w:val="00D0660A"/>
    <w:rsid w:val="00D10EF7"/>
    <w:rsid w:val="00D11359"/>
    <w:rsid w:val="00D12372"/>
    <w:rsid w:val="00D236F0"/>
    <w:rsid w:val="00D23F16"/>
    <w:rsid w:val="00D24E9B"/>
    <w:rsid w:val="00D26534"/>
    <w:rsid w:val="00D3188C"/>
    <w:rsid w:val="00D35F9B"/>
    <w:rsid w:val="00D36B69"/>
    <w:rsid w:val="00D408DD"/>
    <w:rsid w:val="00D41A82"/>
    <w:rsid w:val="00D45D72"/>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C2500"/>
    <w:rsid w:val="00DC3363"/>
    <w:rsid w:val="00DC711F"/>
    <w:rsid w:val="00DC77DC"/>
    <w:rsid w:val="00DD0453"/>
    <w:rsid w:val="00DD075C"/>
    <w:rsid w:val="00DD0C2C"/>
    <w:rsid w:val="00DD19DE"/>
    <w:rsid w:val="00DD2326"/>
    <w:rsid w:val="00DD28BC"/>
    <w:rsid w:val="00DD2970"/>
    <w:rsid w:val="00DD49DB"/>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5582"/>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97625"/>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417FE71-4B64-4F08-8E8F-953E418D5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3</Pages>
  <Words>845</Words>
  <Characters>6852</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TL</cp:lastModifiedBy>
  <cp:revision>6</cp:revision>
  <cp:lastPrinted>2019-04-25T01:09:00Z</cp:lastPrinted>
  <dcterms:created xsi:type="dcterms:W3CDTF">2020-10-21T10:07:00Z</dcterms:created>
  <dcterms:modified xsi:type="dcterms:W3CDTF">2020-10-23T13:19:00Z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